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生駒市子育て世帯訪問支援事業委託業務仕様書</w:t>
      </w:r>
    </w:p>
    <w:p>
      <w:pPr>
        <w:pStyle w:val="Normal"/>
        <w:rPr/>
      </w:pPr>
      <w:r>
        <w:rPr/>
        <w:t xml:space="preserve"> </w:t>
      </w:r>
    </w:p>
    <w:p>
      <w:pPr>
        <w:pStyle w:val="Normal"/>
        <w:rPr/>
      </w:pPr>
      <w:r>
        <w:rPr/>
        <w:t xml:space="preserve">１　事業名 </w:t>
      </w:r>
    </w:p>
    <w:p>
      <w:pPr>
        <w:pStyle w:val="Normal"/>
        <w:rPr/>
      </w:pPr>
      <w:r>
        <w:rPr/>
        <w:t xml:space="preserve">  </w:t>
      </w:r>
      <w:r>
        <w:rPr/>
        <w:t xml:space="preserve">　生駒市子育て世帯訪問支援事業 </w:t>
      </w:r>
    </w:p>
    <w:p>
      <w:pPr>
        <w:pStyle w:val="Normal"/>
        <w:rPr/>
      </w:pPr>
      <w:r>
        <w:rPr/>
        <w:t xml:space="preserve"> </w:t>
      </w:r>
    </w:p>
    <w:p>
      <w:pPr>
        <w:pStyle w:val="Normal"/>
        <w:rPr/>
      </w:pPr>
      <w:r>
        <w:rPr/>
        <w:t xml:space="preserve">２　目的 </w:t>
      </w:r>
    </w:p>
    <w:p>
      <w:pPr>
        <w:pStyle w:val="Normal"/>
        <w:ind w:hanging="230" w:left="230"/>
        <w:rPr/>
      </w:pPr>
      <w:r>
        <w:rPr/>
        <w:t xml:space="preserve">  </w:t>
      </w:r>
      <w:r>
        <w:rPr/>
        <w:t xml:space="preserve">　本事業は、家事・育児に対して不安や負担を抱える子育て家庭、ヤングケアラー等がいる家庭の居宅を訪問支援員が訪問し、家事・育児における必要な支援を行うことにより、家庭や養育環境を整え、虐待リスク等の高まりを未然に防ぐことを目的とする。 </w:t>
      </w:r>
    </w:p>
    <w:p>
      <w:pPr>
        <w:pStyle w:val="Normal"/>
        <w:rPr/>
      </w:pPr>
      <w:r>
        <w:rPr/>
        <w:t xml:space="preserve"> </w:t>
      </w:r>
    </w:p>
    <w:p>
      <w:pPr>
        <w:pStyle w:val="Normal"/>
        <w:rPr/>
      </w:pPr>
      <w:r>
        <w:rPr/>
        <w:t xml:space="preserve">３　対象者 </w:t>
      </w:r>
    </w:p>
    <w:p>
      <w:pPr>
        <w:pStyle w:val="Normal"/>
        <w:ind w:firstLine="230" w:left="230"/>
        <w:rPr/>
      </w:pPr>
      <w:r>
        <w:rPr/>
        <w:t xml:space="preserve">支援対象者は、本市の区域内に居住する者のうち、本事業による支援が必要であると市長が認めた、次に掲げるような状態にある者とする。 </w:t>
      </w:r>
    </w:p>
    <w:p>
      <w:pPr>
        <w:pStyle w:val="Normal"/>
        <w:ind w:hanging="230" w:left="460"/>
        <w:rPr/>
      </w:pPr>
      <w:r>
        <w:rPr/>
        <w:t>(1</w:t>
      </w:r>
      <w:r>
        <w:rPr/>
        <w:t>）保護者に監護させることが不適当であると認められる１８歳未満の子ども（以下「児童」という。）の保護者及びそれに該当するおそれのある保護者</w:t>
      </w:r>
    </w:p>
    <w:p>
      <w:pPr>
        <w:pStyle w:val="Normal"/>
        <w:ind w:hanging="230" w:left="460"/>
        <w:rPr/>
      </w:pPr>
      <w:r>
        <w:rPr/>
        <w:t>(2</w:t>
      </w:r>
      <w:r>
        <w:rPr/>
        <w:t>）食事、生活習慣等について不適切な養育状態にある児童等、保護者の養育を支援することが特に必要と認められる児童の保護者及びそれに該当するおそれのある保護者</w:t>
      </w:r>
    </w:p>
    <w:p>
      <w:pPr>
        <w:pStyle w:val="Normal"/>
        <w:ind w:hanging="230" w:left="460"/>
        <w:rPr/>
      </w:pPr>
      <w:r>
        <w:rPr/>
        <w:t>(3</w:t>
      </w:r>
      <w:r>
        <w:rPr/>
        <w:t>）若年妊婦等、出産後の養育について、出産前において支援を行うことが特に必要と認められる妊婦及びそれに該当するおそれのある妊婦</w:t>
      </w:r>
    </w:p>
    <w:p>
      <w:pPr>
        <w:pStyle w:val="Normal"/>
        <w:ind w:firstLine="230"/>
        <w:rPr/>
      </w:pPr>
      <w:r>
        <w:rPr/>
        <w:t>(4</w:t>
      </w:r>
      <w:r>
        <w:rPr/>
        <w:t>）その他市長が事業による支援が必要と認める者</w:t>
      </w:r>
    </w:p>
    <w:p>
      <w:pPr>
        <w:pStyle w:val="Normal"/>
        <w:rPr/>
      </w:pPr>
      <w:r>
        <w:rPr/>
      </w:r>
    </w:p>
    <w:p>
      <w:pPr>
        <w:pStyle w:val="Normal"/>
        <w:rPr/>
      </w:pPr>
      <w:r>
        <w:rPr/>
        <w:t xml:space="preserve">４　業務及び支援内容 </w:t>
      </w:r>
    </w:p>
    <w:p>
      <w:pPr>
        <w:pStyle w:val="Normal"/>
        <w:ind w:firstLine="230"/>
        <w:rPr/>
      </w:pPr>
      <w:r>
        <w:rPr/>
        <w:t>(1</w:t>
      </w:r>
      <w:r>
        <w:rPr/>
        <w:t xml:space="preserve">）業務の内容 </w:t>
      </w:r>
    </w:p>
    <w:p>
      <w:pPr>
        <w:pStyle w:val="Normal"/>
        <w:ind w:firstLine="459"/>
        <w:rPr/>
      </w:pPr>
      <w:r>
        <w:rPr/>
        <w:t>ア　訪問支援員の登録及び管理に関すること</w:t>
      </w:r>
    </w:p>
    <w:p>
      <w:pPr>
        <w:pStyle w:val="Normal"/>
        <w:ind w:firstLine="459"/>
        <w:rPr/>
      </w:pPr>
      <w:r>
        <w:rPr/>
        <w:t>イ　支援の提供及び日程の管理に関すること</w:t>
      </w:r>
    </w:p>
    <w:p>
      <w:pPr>
        <w:pStyle w:val="Normal"/>
        <w:ind w:firstLine="459"/>
        <w:rPr/>
      </w:pPr>
      <w:r>
        <w:rPr/>
        <w:t>ウ　支援状況に関する報告及び情報連携に関すること</w:t>
      </w:r>
    </w:p>
    <w:p>
      <w:pPr>
        <w:pStyle w:val="Normal"/>
        <w:ind w:firstLine="459"/>
        <w:rPr/>
      </w:pPr>
      <w:r>
        <w:rPr/>
        <w:t>エ　利用者負担の徴収及び領収書の発行に関すること</w:t>
      </w:r>
    </w:p>
    <w:p>
      <w:pPr>
        <w:pStyle w:val="Normal"/>
        <w:ind w:firstLine="459"/>
        <w:rPr/>
      </w:pPr>
      <w:r>
        <w:rPr/>
        <w:t>オ　市への委託料等の請求に関すること</w:t>
      </w:r>
    </w:p>
    <w:p>
      <w:pPr>
        <w:pStyle w:val="Normal"/>
        <w:ind w:firstLine="459"/>
        <w:rPr/>
      </w:pPr>
      <w:r>
        <w:rPr/>
        <w:t>カ　アからオまでに掲げるもののほか、支援の実施に必要な業務に関すること</w:t>
      </w:r>
    </w:p>
    <w:p>
      <w:pPr>
        <w:pStyle w:val="Normal"/>
        <w:ind w:firstLine="230"/>
        <w:rPr/>
      </w:pPr>
      <w:r>
        <w:rPr/>
        <w:t>(2</w:t>
      </w:r>
      <w:r>
        <w:rPr/>
        <w:t xml:space="preserve">）支援の内容 </w:t>
      </w:r>
    </w:p>
    <w:p>
      <w:pPr>
        <w:pStyle w:val="Normal"/>
        <w:ind w:firstLine="230" w:left="230"/>
        <w:rPr/>
      </w:pPr>
      <w:r>
        <w:rPr/>
        <w:t xml:space="preserve">市からの訪問依頼により、支援対象者のいる家庭を訪問支援員が訪問し、家庭の状況に応じて、ア若しくはイのいずれか又は全ての支援を行うとともに、ウからオまでに規定する支援を包括的に行うものとする。 </w:t>
      </w:r>
    </w:p>
    <w:p>
      <w:pPr>
        <w:pStyle w:val="Normal"/>
        <w:ind w:firstLine="459"/>
        <w:rPr/>
      </w:pPr>
      <w:r>
        <w:rPr/>
        <w:t xml:space="preserve">ア　家事支援（食事の準備、洗濯、掃除、買い物の代行やサポート等をいう。） </w:t>
      </w:r>
    </w:p>
    <w:p>
      <w:pPr>
        <w:pStyle w:val="Normal"/>
        <w:ind w:hanging="230" w:left="689"/>
        <w:rPr/>
      </w:pPr>
      <w:r>
        <w:rPr/>
        <w:t xml:space="preserve">イ　育児・養育支援（育児のサポート、保育所等の送迎、宿題の見守り、外出時の補助等をいう。） </w:t>
      </w:r>
    </w:p>
    <w:p>
      <w:pPr>
        <w:pStyle w:val="Normal"/>
        <w:ind w:hanging="230" w:left="689"/>
        <w:rPr/>
      </w:pPr>
      <w:r>
        <w:rPr/>
        <w:t xml:space="preserve">ウ　子育て等に関する不安や悩みの傾聴、相談及び助言（保健師等の専門職による対応が必要な専門的な内容のものを除く。） </w:t>
      </w:r>
    </w:p>
    <w:p>
      <w:pPr>
        <w:pStyle w:val="Normal"/>
        <w:ind w:firstLine="459"/>
        <w:rPr/>
      </w:pPr>
      <w:r>
        <w:rPr/>
        <w:t xml:space="preserve">エ　地域の母子保健施策・子育て支援施策等に関する情報提供 </w:t>
      </w:r>
    </w:p>
    <w:p>
      <w:pPr>
        <w:pStyle w:val="Normal"/>
        <w:ind w:firstLine="459"/>
        <w:rPr/>
      </w:pPr>
      <w:r>
        <w:rPr/>
        <w:t xml:space="preserve">オ　支援対象者や児童の状況・養育環境の把握、市への報告 </w:t>
      </w:r>
    </w:p>
    <w:p>
      <w:pPr>
        <w:pStyle w:val="Normal"/>
        <w:ind w:firstLine="230"/>
        <w:rPr/>
      </w:pPr>
      <w:r>
        <w:rPr/>
        <w:t>(3</w:t>
      </w:r>
      <w:r>
        <w:rPr/>
        <w:t xml:space="preserve">）支援を行わない場合 </w:t>
      </w:r>
    </w:p>
    <w:p>
      <w:pPr>
        <w:pStyle w:val="Normal"/>
        <w:ind w:firstLine="459"/>
        <w:rPr/>
      </w:pPr>
      <w:r>
        <w:rPr/>
        <w:t>次に掲げる場合は家事支援及び育児・養育支援等は行わない。</w:t>
      </w:r>
    </w:p>
    <w:p>
      <w:pPr>
        <w:pStyle w:val="Normal"/>
        <w:ind w:firstLine="459"/>
        <w:rPr/>
      </w:pPr>
      <w:r>
        <w:rPr/>
        <w:t>ア　病児・病後児の世話を目的とするとき</w:t>
      </w:r>
    </w:p>
    <w:p>
      <w:pPr>
        <w:pStyle w:val="Normal"/>
        <w:ind w:firstLine="459"/>
        <w:rPr/>
      </w:pPr>
      <w:r>
        <w:rPr/>
        <w:t>イ　保護者が不在のとき</w:t>
      </w:r>
    </w:p>
    <w:p>
      <w:pPr>
        <w:pStyle w:val="Normal"/>
        <w:ind w:firstLine="459"/>
        <w:rPr/>
      </w:pPr>
      <w:r>
        <w:rPr/>
        <w:t>ウ　感染症の患者又はおそれのある者が家庭にいるとき</w:t>
      </w:r>
    </w:p>
    <w:p>
      <w:pPr>
        <w:pStyle w:val="Normal"/>
        <w:ind w:firstLine="459"/>
        <w:rPr/>
      </w:pPr>
      <w:r>
        <w:rPr/>
        <w:t xml:space="preserve">エ　他の公的サービスと利用時間が重複するとき </w:t>
      </w:r>
    </w:p>
    <w:p>
      <w:pPr>
        <w:pStyle w:val="Normal"/>
        <w:ind w:firstLine="459"/>
        <w:rPr/>
      </w:pPr>
      <w:r>
        <w:rPr/>
        <w:t xml:space="preserve">オ　その他、適切なサービスの提供が困難と認められるとき  </w:t>
      </w:r>
    </w:p>
    <w:p>
      <w:pPr>
        <w:pStyle w:val="Normal"/>
        <w:rPr/>
      </w:pPr>
      <w:r>
        <w:rPr/>
        <w:t xml:space="preserve"> </w:t>
      </w:r>
    </w:p>
    <w:p>
      <w:pPr>
        <w:pStyle w:val="Normal"/>
        <w:rPr/>
      </w:pPr>
      <w:r>
        <w:rPr/>
        <w:t xml:space="preserve">５　事業の実施時間及び回数等 </w:t>
      </w:r>
    </w:p>
    <w:p>
      <w:pPr>
        <w:pStyle w:val="Normal"/>
        <w:ind w:firstLine="230"/>
        <w:rPr/>
      </w:pPr>
      <w:r>
        <w:rPr/>
        <w:t>(1</w:t>
      </w:r>
      <w:r>
        <w:rPr/>
        <w:t xml:space="preserve">）実施時間 </w:t>
      </w:r>
    </w:p>
    <w:p>
      <w:pPr>
        <w:pStyle w:val="Normal"/>
        <w:ind w:firstLine="230" w:left="230"/>
        <w:rPr/>
      </w:pPr>
      <w:r>
        <w:rPr/>
        <w:t>事業を利用できる時間は、生駒市の休日を定める条例（平成元年条例第２０号）第１条に規定する市の休日を除く日の午前８時から午後６時までとし、１日あたり２時間まで、１週間あたり概ね２日までとする。但し、緊急かつやむを得ない事由があると市長が認める場合はこの限りではない。</w:t>
      </w:r>
    </w:p>
    <w:p>
      <w:pPr>
        <w:pStyle w:val="Normal"/>
        <w:ind w:firstLine="230"/>
        <w:rPr/>
      </w:pPr>
      <w:r>
        <w:rPr/>
        <w:t>(2</w:t>
      </w:r>
      <w:r>
        <w:rPr/>
        <w:t xml:space="preserve">）支援期間 </w:t>
      </w:r>
    </w:p>
    <w:p>
      <w:pPr>
        <w:pStyle w:val="Normal"/>
        <w:ind w:firstLine="459"/>
        <w:rPr/>
      </w:pPr>
      <w:r>
        <w:rPr/>
        <w:t xml:space="preserve">１世帯あたりの支援期間は、原則２か月以内とする。 </w:t>
      </w:r>
    </w:p>
    <w:p>
      <w:pPr>
        <w:pStyle w:val="Normal"/>
        <w:rPr/>
      </w:pPr>
      <w:r>
        <w:rPr/>
        <w:t xml:space="preserve"> </w:t>
      </w:r>
    </w:p>
    <w:p>
      <w:pPr>
        <w:pStyle w:val="Normal"/>
        <w:rPr/>
      </w:pPr>
      <w:r>
        <w:rPr/>
        <w:t xml:space="preserve">６　履行上の条件等 </w:t>
      </w:r>
    </w:p>
    <w:p>
      <w:pPr>
        <w:pStyle w:val="Normal"/>
        <w:ind w:firstLine="230"/>
        <w:rPr/>
      </w:pPr>
      <w:r>
        <w:rPr/>
        <w:t>(1</w:t>
      </w:r>
      <w:r>
        <w:rPr/>
        <w:t xml:space="preserve">）基本事項 </w:t>
      </w:r>
    </w:p>
    <w:p>
      <w:pPr>
        <w:pStyle w:val="Normal"/>
        <w:ind w:firstLine="459"/>
        <w:rPr/>
      </w:pPr>
      <w:r>
        <w:rPr/>
        <w:t xml:space="preserve">ア　生駒市子育て世帯訪問支援事業実施要綱及び関係法令を遵守すること。 </w:t>
      </w:r>
    </w:p>
    <w:p>
      <w:pPr>
        <w:pStyle w:val="Normal"/>
        <w:ind w:hanging="230" w:left="689"/>
        <w:rPr/>
      </w:pPr>
      <w:r>
        <w:rPr/>
        <w:t>イ　公共の業務に携わる重要性及び個人情報を取り扱う重要性を十分に認識し、「個人情報の保護に関する法律（平成</w:t>
      </w:r>
      <w:r>
        <w:rPr/>
        <w:t>15</w:t>
      </w:r>
      <w:r>
        <w:rPr/>
        <w:t>年法律第</w:t>
      </w:r>
      <w:r>
        <w:rPr/>
        <w:t>57</w:t>
      </w:r>
      <w:r>
        <w:rPr/>
        <w:t xml:space="preserve">号）」を遵守するとともに、情報の厳格な管理及び適切な運用のために個人情報の保護に係るマニュアルの作成や各事業所内での研修の実施など必要な体制を整備すること。 </w:t>
      </w:r>
    </w:p>
    <w:p>
      <w:pPr>
        <w:pStyle w:val="Normal"/>
        <w:ind w:hanging="230" w:left="689"/>
        <w:rPr/>
      </w:pPr>
      <w:r>
        <w:rPr/>
        <w:t xml:space="preserve">ウ　本業務に携わる者は、個人情報、並びに業務の遂行を通じて知り得た情報を漏らし、又は盗用してはならず、その職を退いた後も同様とする。 </w:t>
      </w:r>
    </w:p>
    <w:p>
      <w:pPr>
        <w:pStyle w:val="Normal"/>
        <w:ind w:hanging="230" w:left="689"/>
        <w:rPr/>
      </w:pPr>
      <w:r>
        <w:rPr/>
        <w:t xml:space="preserve">エ　安全対策に係るマニュアル作成など、事故防止に関する必要な措置を講じた上で訪問支援員等に周知すること。また、事故等の緊急事態が発生した場合に備え、事前に体制を整備するとともに、緊急事態発生時においても、市と連携しながら対応策を講じること。 </w:t>
      </w:r>
    </w:p>
    <w:p>
      <w:pPr>
        <w:pStyle w:val="Normal"/>
        <w:ind w:hanging="230" w:left="689"/>
        <w:rPr/>
      </w:pPr>
      <w:r>
        <w:rPr/>
        <w:t xml:space="preserve">オ　受託事業者は、本業務の実施に当たり、活動中の事故等に備え、損害・賠償責任保険等へ加入すること。 </w:t>
      </w:r>
    </w:p>
    <w:p>
      <w:pPr>
        <w:pStyle w:val="Normal"/>
        <w:ind w:firstLine="230"/>
        <w:rPr/>
      </w:pPr>
      <w:r>
        <w:rPr/>
        <w:t>(2</w:t>
      </w:r>
      <w:r>
        <w:rPr/>
        <w:t xml:space="preserve">）実施体制 </w:t>
      </w:r>
    </w:p>
    <w:p>
      <w:pPr>
        <w:pStyle w:val="Normal"/>
        <w:ind w:firstLine="230" w:left="230"/>
        <w:rPr/>
      </w:pPr>
      <w:r>
        <w:rPr/>
        <w:t xml:space="preserve">本事業の履行を監督する事業責任者を配置し、届け出ること。この事業責任者は常勤の者であって、兼務可能な職にあるものとし、事業責任者を中心に緊急時に迅速かつ適切な対応をとれる体制を構築すること。また事業従事者について、専任又は兼任を明確にすること。 </w:t>
      </w:r>
    </w:p>
    <w:p>
      <w:pPr>
        <w:pStyle w:val="Normal"/>
        <w:rPr/>
      </w:pPr>
      <w:r>
        <w:rPr/>
        <w:t xml:space="preserve"> </w:t>
      </w:r>
    </w:p>
    <w:p>
      <w:pPr>
        <w:pStyle w:val="Normal"/>
        <w:rPr/>
      </w:pPr>
      <w:r>
        <w:rPr/>
        <w:t xml:space="preserve">７　訪問支援員 </w:t>
      </w:r>
    </w:p>
    <w:p>
      <w:pPr>
        <w:pStyle w:val="Normal"/>
        <w:ind w:firstLine="230"/>
        <w:rPr/>
      </w:pPr>
      <w:r>
        <w:rPr/>
        <w:t>(1</w:t>
      </w:r>
      <w:r>
        <w:rPr/>
        <w:t xml:space="preserve">）訪問支援員の要件 </w:t>
      </w:r>
    </w:p>
    <w:p>
      <w:pPr>
        <w:pStyle w:val="Normal"/>
        <w:ind w:firstLine="459"/>
        <w:rPr/>
      </w:pPr>
      <w:r>
        <w:rPr/>
        <w:t>本事業を行う訪問支援員は、次の①・②の要件をいずれも満たす者とする。</w:t>
      </w:r>
    </w:p>
    <w:p>
      <w:pPr>
        <w:pStyle w:val="Normal"/>
        <w:ind w:hanging="230" w:left="689"/>
        <w:rPr/>
      </w:pPr>
      <w:r>
        <w:rPr/>
        <w:t>①</w:t>
      </w:r>
      <w:r>
        <w:rPr/>
        <w:t>介護福祉士や訪問介護員（ホームヘルパー）、看護師、保育士等の資格を有する者、又は介護職員初任者研修を修了した者、子育て支援員研修修了者、その他家事又は育児・養育に関する支援を適切に実行する能力を有する者とし、心身ともに健康である者とする。</w:t>
      </w:r>
    </w:p>
    <w:p>
      <w:pPr>
        <w:pStyle w:val="Normal"/>
        <w:ind w:firstLine="459"/>
        <w:rPr/>
      </w:pPr>
      <w:r>
        <w:rPr/>
        <w:t>②</w:t>
      </w:r>
      <w:r>
        <w:rPr/>
        <w:t>次のいずれにも該当しない者</w:t>
      </w:r>
    </w:p>
    <w:p>
      <w:pPr>
        <w:pStyle w:val="Normal"/>
        <w:ind w:hanging="230" w:left="689"/>
        <w:rPr/>
      </w:pPr>
      <w:r>
        <w:rPr/>
        <w:t>ア　禁固以上の刑に処せられ、その執行を終わり、又は執行を受けることがなくなるまでの者</w:t>
      </w:r>
    </w:p>
    <w:p>
      <w:pPr>
        <w:pStyle w:val="Normal"/>
        <w:ind w:hanging="230" w:left="689"/>
        <w:rPr/>
      </w:pPr>
      <w:r>
        <w:rPr/>
        <w:t>イ　児童福祉法、児童買春、児童ポルノに係る行為等の規制及び処罰並びに児童の保護等に関する法律（平成１１年法律第５２号）その他国民の福祉に関する法律（児童福祉法施行令（昭和２３年政令第７４令）第３５条の５各号に掲げる法律に限る。）の規定により罰金の刑に処せられ、その執行を終わり、又は執行を受けることがなくなるまでの者</w:t>
      </w:r>
    </w:p>
    <w:p>
      <w:pPr>
        <w:pStyle w:val="Normal"/>
        <w:ind w:hanging="230" w:left="689"/>
        <w:rPr/>
      </w:pPr>
      <w:r>
        <w:rPr/>
        <w:t>ウ　児童虐待の防止等に関する法律（平成１２年法律第８２号）第２条に規定する児童虐待又は児童福祉法第３３条の１０に規定する被措置児童等虐待を行った者その他児童の福祉に関し著しく不適当な行為をした者</w:t>
      </w:r>
    </w:p>
    <w:p>
      <w:pPr>
        <w:pStyle w:val="Normal"/>
        <w:ind w:firstLine="230"/>
        <w:rPr/>
      </w:pPr>
      <w:r>
        <w:rPr/>
        <w:t>(2</w:t>
      </w:r>
      <w:r>
        <w:rPr/>
        <w:t xml:space="preserve">）研修 </w:t>
      </w:r>
    </w:p>
    <w:p>
      <w:pPr>
        <w:pStyle w:val="Normal"/>
        <w:ind w:hanging="230" w:left="230"/>
        <w:rPr/>
      </w:pPr>
      <w:r>
        <w:rPr/>
        <w:t xml:space="preserve">  </w:t>
      </w:r>
      <w:r>
        <w:rPr/>
        <w:t xml:space="preserve">　訪問支援員の質を担保する観点から、事業の目的、内容、支援の方法、個人情報の適切な管理や守秘義務等について、必要な研修を受託事業者が実施すること。 </w:t>
      </w:r>
    </w:p>
    <w:p>
      <w:pPr>
        <w:pStyle w:val="Normal"/>
        <w:ind w:hanging="230" w:left="230"/>
        <w:rPr/>
      </w:pPr>
      <w:r>
        <w:rPr/>
        <w:t xml:space="preserve">  </w:t>
      </w:r>
      <w:r>
        <w:rPr/>
        <w:t xml:space="preserve">　また、育児・養育支援を行う訪問支援員に対しては、ＡＥＤ（自動体外式除細動器）の使用方法や心肺蘇生等の実習を含んだ救急救命講習及び事故防止に関する講習（安全チェックリストの活用やヒヤリハット事例の検証等を内容とするもの）について、必ず受講していること。ただし、他の研修の修了等をもって既に習得している部分について、省略しても差し支えないものとする。 </w:t>
      </w:r>
    </w:p>
    <w:p>
      <w:pPr>
        <w:pStyle w:val="Normal"/>
        <w:ind w:hanging="230" w:left="230"/>
        <w:rPr/>
      </w:pPr>
      <w:r>
        <w:rPr/>
        <w:t xml:space="preserve">  </w:t>
      </w:r>
      <w:r>
        <w:rPr/>
        <w:t xml:space="preserve">　実施に当たっては、家庭訪問の同行や支援場面を想定した実技指導等を組み込む等、訪問の内容及び質の向上に努めること。 </w:t>
      </w:r>
    </w:p>
    <w:p>
      <w:pPr>
        <w:pStyle w:val="Normal"/>
        <w:ind w:firstLine="230"/>
        <w:rPr/>
      </w:pPr>
      <w:r>
        <w:rPr/>
        <w:t>(3</w:t>
      </w:r>
      <w:r>
        <w:rPr/>
        <w:t xml:space="preserve">）守秘義務 </w:t>
      </w:r>
    </w:p>
    <w:p>
      <w:pPr>
        <w:pStyle w:val="Normal"/>
        <w:ind w:firstLine="230" w:left="230"/>
        <w:rPr/>
      </w:pPr>
      <w:r>
        <w:rPr/>
        <w:t xml:space="preserve">訪問支援員は、対象家庭の身上その他の事業実施上知り得た個人に関する情報を他人に漏らし、又は不当な目的に使用してはならない。その職を退いた後も同様とする。 </w:t>
      </w:r>
    </w:p>
    <w:p>
      <w:pPr>
        <w:pStyle w:val="Normal"/>
        <w:ind w:firstLine="230"/>
        <w:rPr/>
      </w:pPr>
      <w:r>
        <w:rPr/>
        <w:t>(4</w:t>
      </w:r>
      <w:r>
        <w:rPr/>
        <w:t xml:space="preserve">）訪問支援員証 </w:t>
      </w:r>
    </w:p>
    <w:p>
      <w:pPr>
        <w:pStyle w:val="Normal"/>
        <w:ind w:firstLine="230" w:left="230"/>
        <w:rPr/>
      </w:pPr>
      <w:r>
        <w:rPr/>
        <w:t xml:space="preserve">訪問支援員は、支援を行う際、身分証を携帯し、必要に応じて利用者等にこれを提示しなければならない。 </w:t>
      </w:r>
    </w:p>
    <w:p>
      <w:pPr>
        <w:pStyle w:val="Normal"/>
        <w:rPr/>
      </w:pPr>
      <w:r>
        <w:rPr/>
        <w:t xml:space="preserve"> </w:t>
      </w:r>
    </w:p>
    <w:p>
      <w:pPr>
        <w:pStyle w:val="Normal"/>
        <w:rPr/>
      </w:pPr>
      <w:r>
        <w:rPr/>
        <w:t xml:space="preserve">８　支援状況の報告 </w:t>
      </w:r>
    </w:p>
    <w:p>
      <w:pPr>
        <w:pStyle w:val="Normal"/>
        <w:rPr/>
      </w:pPr>
      <w:r>
        <w:rPr/>
        <w:t xml:space="preserve">  </w:t>
      </w:r>
      <w:r>
        <w:rPr/>
        <w:t xml:space="preserve">　受託事業者及び訪問支援員が行わなければならない報告は、次のとおりとする。  </w:t>
      </w:r>
    </w:p>
    <w:p>
      <w:pPr>
        <w:pStyle w:val="Normal"/>
        <w:rPr/>
      </w:pPr>
      <w:r>
        <w:rPr/>
      </w:r>
    </w:p>
    <w:tbl>
      <w:tblPr>
        <w:tblStyle w:val="a3"/>
        <w:tblW w:w="8895"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708"/>
        <w:gridCol w:w="3403"/>
        <w:gridCol w:w="1842"/>
        <w:gridCol w:w="2941"/>
      </w:tblGrid>
      <w:tr>
        <w:trPr/>
        <w:tc>
          <w:tcPr>
            <w:tcW w:w="4111" w:type="dxa"/>
            <w:gridSpan w:val="2"/>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報告の種類</w:t>
            </w:r>
          </w:p>
        </w:tc>
        <w:tc>
          <w:tcPr>
            <w:tcW w:w="1842" w:type="dxa"/>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報告期限</w:t>
            </w:r>
          </w:p>
        </w:tc>
        <w:tc>
          <w:tcPr>
            <w:tcW w:w="2941" w:type="dxa"/>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使用する様式</w:t>
            </w:r>
          </w:p>
        </w:tc>
      </w:tr>
      <w:tr>
        <w:trPr/>
        <w:tc>
          <w:tcPr>
            <w:tcW w:w="708"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定期報告</w:t>
            </w:r>
          </w:p>
        </w:tc>
        <w:tc>
          <w:tcPr>
            <w:tcW w:w="3403"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利用者の利用状況、支援内容等について行う報告</w:t>
            </w:r>
          </w:p>
        </w:tc>
        <w:tc>
          <w:tcPr>
            <w:tcW w:w="1842"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事業実施月の翌月１０日</w:t>
            </w:r>
          </w:p>
        </w:tc>
        <w:tc>
          <w:tcPr>
            <w:tcW w:w="2941"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生駒市子育て世帯訪問支援事業実施要綱（様式第７号）</w:t>
            </w:r>
          </w:p>
        </w:tc>
      </w:tr>
      <w:tr>
        <w:trPr/>
        <w:tc>
          <w:tcPr>
            <w:tcW w:w="708"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随時報告</w:t>
            </w:r>
          </w:p>
        </w:tc>
        <w:tc>
          <w:tcPr>
            <w:tcW w:w="3403"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養育環境の悪化等により他の支援の必要性が認められる場合に行う報告</w:t>
            </w:r>
          </w:p>
        </w:tc>
        <w:tc>
          <w:tcPr>
            <w:tcW w:w="1842"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他の支援の必要性を認められる事実を把握した日</w:t>
            </w:r>
          </w:p>
        </w:tc>
        <w:tc>
          <w:tcPr>
            <w:tcW w:w="2941"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様式の指定なし</w:t>
            </w:r>
          </w:p>
        </w:tc>
      </w:tr>
    </w:tbl>
    <w:p>
      <w:pPr>
        <w:pStyle w:val="Normal"/>
        <w:ind w:firstLine="230" w:left="230"/>
        <w:rPr/>
      </w:pPr>
      <w:r>
        <w:rPr/>
        <w:t xml:space="preserve">訪問支援員は、毎回の訪問につき、児童虐待等につながるおそれのあるリスクを把握するよう努めること。 </w:t>
      </w:r>
    </w:p>
    <w:p>
      <w:pPr>
        <w:pStyle w:val="Normal"/>
        <w:ind w:firstLine="459"/>
        <w:rPr/>
      </w:pPr>
      <w:r>
        <w:rPr/>
        <w:t xml:space="preserve">随時報告について、報告を行う主な場面として、以下の内容を参考とすること。 </w:t>
      </w:r>
    </w:p>
    <w:p>
      <w:pPr>
        <w:pStyle w:val="Normal"/>
        <w:ind w:firstLine="459"/>
        <w:rPr/>
      </w:pPr>
      <w:r>
        <w:rPr/>
        <w:t xml:space="preserve">ア　事故やケガや災害が発生したとき  </w:t>
      </w:r>
    </w:p>
    <w:p>
      <w:pPr>
        <w:pStyle w:val="Normal"/>
        <w:ind w:firstLine="459"/>
        <w:rPr/>
      </w:pPr>
      <w:r>
        <w:rPr/>
        <w:t xml:space="preserve">イ　食中毒や感染症が発生したとき  </w:t>
      </w:r>
    </w:p>
    <w:p>
      <w:pPr>
        <w:pStyle w:val="Normal"/>
        <w:ind w:firstLine="459"/>
        <w:rPr/>
      </w:pPr>
      <w:r>
        <w:rPr/>
        <w:t xml:space="preserve">ウ　危険性を感じたケースやトラブルが発生したとき   </w:t>
      </w:r>
    </w:p>
    <w:p>
      <w:pPr>
        <w:pStyle w:val="Normal"/>
        <w:ind w:firstLine="459"/>
        <w:rPr/>
      </w:pPr>
      <w:r>
        <w:rPr/>
        <w:t xml:space="preserve">エ　利用者との間でトラブルが発生したとき </w:t>
      </w:r>
    </w:p>
    <w:p>
      <w:pPr>
        <w:pStyle w:val="Normal"/>
        <w:ind w:firstLine="459"/>
        <w:rPr/>
      </w:pPr>
      <w:r>
        <w:rPr/>
        <w:t xml:space="preserve">オ　児童や家庭の状況に心配される事象があったとき </w:t>
      </w:r>
    </w:p>
    <w:p>
      <w:pPr>
        <w:pStyle w:val="Normal"/>
        <w:ind w:firstLine="459"/>
        <w:rPr/>
      </w:pPr>
      <w:r>
        <w:rPr/>
        <w:t xml:space="preserve">カ　新規相談があったとき、継続案件に何か状況変化があったとき </w:t>
      </w:r>
    </w:p>
    <w:p>
      <w:pPr>
        <w:pStyle w:val="Normal"/>
        <w:ind w:hanging="230" w:left="689"/>
        <w:rPr/>
      </w:pPr>
      <w:r>
        <w:rPr/>
        <w:t xml:space="preserve">キ　他機関・事業との連携が必要と感じたとき（自治体、学校、要保護児童対策地域協議会、警察との連携等） </w:t>
      </w:r>
    </w:p>
    <w:p>
      <w:pPr>
        <w:pStyle w:val="Normal"/>
        <w:ind w:firstLine="459"/>
        <w:rPr/>
      </w:pPr>
      <w:r>
        <w:rPr/>
        <w:t xml:space="preserve">ク　市が間に入って訪問支援者・利用者の３者で議論すべき問題が発生したとき </w:t>
      </w:r>
    </w:p>
    <w:p>
      <w:pPr>
        <w:pStyle w:val="Normal"/>
        <w:rPr/>
      </w:pPr>
      <w:r>
        <w:rPr/>
        <w:t xml:space="preserve"> </w:t>
      </w:r>
    </w:p>
    <w:p>
      <w:pPr>
        <w:pStyle w:val="Normal"/>
        <w:rPr/>
      </w:pPr>
      <w:r>
        <w:rPr/>
        <w:t xml:space="preserve">９　支援対象者の利用者負担額 </w:t>
      </w:r>
    </w:p>
    <w:p>
      <w:pPr>
        <w:pStyle w:val="Normal"/>
        <w:ind w:firstLine="230"/>
        <w:rPr/>
      </w:pPr>
      <w:r>
        <w:rPr/>
        <w:t>(1</w:t>
      </w:r>
      <w:r>
        <w:rPr/>
        <w:t xml:space="preserve">）利用者負担額 </w:t>
      </w:r>
    </w:p>
    <w:tbl>
      <w:tblPr>
        <w:tblStyle w:val="a3"/>
        <w:tblW w:w="8753"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4535"/>
        <w:gridCol w:w="4217"/>
      </w:tblGrid>
      <w:tr>
        <w:trPr/>
        <w:tc>
          <w:tcPr>
            <w:tcW w:w="4535" w:type="dxa"/>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世帯区分</w:t>
            </w:r>
          </w:p>
        </w:tc>
        <w:tc>
          <w:tcPr>
            <w:tcW w:w="4217" w:type="dxa"/>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利用者負担額（１時間当たり）</w:t>
            </w:r>
          </w:p>
        </w:tc>
      </w:tr>
      <w:tr>
        <w:trPr/>
        <w:tc>
          <w:tcPr>
            <w:tcW w:w="4535"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生活保護受給世帯及び市民税非課税世帯</w:t>
            </w:r>
          </w:p>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多子世帯及び多胎児世帯</w:t>
            </w:r>
          </w:p>
        </w:tc>
        <w:tc>
          <w:tcPr>
            <w:tcW w:w="4217" w:type="dxa"/>
            <w:tcBorders/>
            <w:vAlign w:val="center"/>
          </w:tcPr>
          <w:p>
            <w:pPr>
              <w:pStyle w:val="Normal"/>
              <w:suppressAutoHyphens w:val="true"/>
              <w:spacing w:before="0" w:after="0"/>
              <w:jc w:val="right"/>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３００円</w:t>
            </w:r>
          </w:p>
        </w:tc>
      </w:tr>
      <w:tr>
        <w:trPr/>
        <w:tc>
          <w:tcPr>
            <w:tcW w:w="4535"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上記以外の世帯</w:t>
            </w:r>
          </w:p>
        </w:tc>
        <w:tc>
          <w:tcPr>
            <w:tcW w:w="4217" w:type="dxa"/>
            <w:tcBorders/>
          </w:tcPr>
          <w:p>
            <w:pPr>
              <w:pStyle w:val="Normal"/>
              <w:suppressAutoHyphens w:val="true"/>
              <w:spacing w:before="0" w:after="0"/>
              <w:jc w:val="right"/>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６００円</w:t>
            </w:r>
          </w:p>
        </w:tc>
      </w:tr>
    </w:tbl>
    <w:p>
      <w:pPr>
        <w:pStyle w:val="Normal"/>
        <w:rPr/>
      </w:pPr>
      <w:r>
        <w:rPr/>
      </w:r>
    </w:p>
    <w:p>
      <w:pPr>
        <w:pStyle w:val="Normal"/>
        <w:ind w:firstLine="230"/>
        <w:rPr/>
      </w:pPr>
      <w:r>
        <w:rPr/>
        <w:t>(2</w:t>
      </w:r>
      <w:r>
        <w:rPr/>
        <w:t xml:space="preserve">）徴収方法 </w:t>
      </w:r>
    </w:p>
    <w:p>
      <w:pPr>
        <w:pStyle w:val="Normal"/>
        <w:ind w:firstLine="230" w:left="230"/>
        <w:rPr/>
      </w:pPr>
      <w:r>
        <w:rPr/>
        <w:t>利用者負担額は、受託事業者が利用者から徴収し、徴収にあたっては受託事業者名義の領収書を発行する。</w:t>
      </w:r>
    </w:p>
    <w:p>
      <w:pPr>
        <w:pStyle w:val="Normal"/>
        <w:ind w:firstLine="230" w:left="230"/>
        <w:rPr/>
      </w:pPr>
      <w:r>
        <w:rPr/>
        <w:t xml:space="preserve">また、上記に掲げる負担額とは別に、食材料費、光熱水費、買い物に係る実費及び保育所送迎等に要した交通費等については、支援対象者（保護者）が負担する。 </w:t>
      </w:r>
    </w:p>
    <w:p>
      <w:pPr>
        <w:pStyle w:val="Normal"/>
        <w:rPr/>
      </w:pPr>
      <w:r>
        <w:rPr/>
        <w:t xml:space="preserve"> </w:t>
      </w:r>
    </w:p>
    <w:p>
      <w:pPr>
        <w:pStyle w:val="Normal"/>
        <w:rPr/>
      </w:pPr>
      <w:r>
        <w:rPr/>
        <w:t xml:space="preserve">１０　委託料の請求及び支払い </w:t>
      </w:r>
    </w:p>
    <w:p>
      <w:pPr>
        <w:pStyle w:val="Normal"/>
        <w:ind w:firstLine="230" w:left="230"/>
        <w:rPr/>
      </w:pPr>
      <w:r>
        <w:rPr/>
        <w:t>受託事業者は、生駒市子育て世帯訪問支援事業実施報告書（様式第７号）及び生駒市子育て世帯訪問支援事業委託料請求書（様式第８号）を事業実施月の翌月１０日（休日の場合は翌開庁日）までに市長に提出するものとする。市は、請求に従い、実績に応じて次に掲げる基準に基づき委託料を支払うものとする。</w:t>
      </w:r>
    </w:p>
    <w:tbl>
      <w:tblPr>
        <w:tblStyle w:val="a3"/>
        <w:tblW w:w="9037"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2410"/>
        <w:gridCol w:w="2266"/>
        <w:gridCol w:w="4361"/>
      </w:tblGrid>
      <w:tr>
        <w:trPr/>
        <w:tc>
          <w:tcPr>
            <w:tcW w:w="4676" w:type="dxa"/>
            <w:gridSpan w:val="2"/>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費用区分</w:t>
            </w:r>
          </w:p>
        </w:tc>
        <w:tc>
          <w:tcPr>
            <w:tcW w:w="4361" w:type="dxa"/>
            <w:tcBorders/>
          </w:tcPr>
          <w:p>
            <w:pPr>
              <w:pStyle w:val="Normal"/>
              <w:suppressAutoHyphens w:val="true"/>
              <w:spacing w:before="0" w:after="0"/>
              <w:jc w:val="center"/>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金額</w:t>
            </w:r>
          </w:p>
        </w:tc>
      </w:tr>
      <w:tr>
        <w:trPr/>
        <w:tc>
          <w:tcPr>
            <w:tcW w:w="4676" w:type="dxa"/>
            <w:gridSpan w:val="2"/>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①</w:t>
            </w:r>
            <w:r>
              <w:rPr>
                <w:rFonts w:ascii="ＭＳ 明朝" w:hAnsi="ＭＳ 明朝" w:cs=""/>
                <w:kern w:val="2"/>
                <w:sz w:val="21"/>
                <w:szCs w:val="22"/>
                <w:lang w:val="en-US" w:eastAsia="ja-JP" w:bidi="ar-SA"/>
              </w:rPr>
              <w:t>訪問支援を実施した場合</w:t>
            </w:r>
          </w:p>
        </w:tc>
        <w:tc>
          <w:tcPr>
            <w:tcW w:w="4361"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r>
      <w:tr>
        <w:trPr/>
        <w:tc>
          <w:tcPr>
            <w:tcW w:w="2410" w:type="dxa"/>
            <w:vMerge w:val="restart"/>
            <w:tcBorders/>
          </w:tcPr>
          <w:p>
            <w:pPr>
              <w:pStyle w:val="Normal"/>
              <w:suppressAutoHyphens w:val="true"/>
              <w:spacing w:before="0" w:after="0"/>
              <w:ind w:firstLine="23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ア　訪問支援費</w:t>
            </w:r>
          </w:p>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c>
          <w:tcPr>
            <w:tcW w:w="2266"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生活保護受給世帯</w:t>
            </w:r>
          </w:p>
        </w:tc>
        <w:tc>
          <w:tcPr>
            <w:tcW w:w="4361" w:type="dxa"/>
            <w:vMerge w:val="restart"/>
            <w:tcBorders/>
            <w:vAlign w:val="center"/>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１時間当たり ２，７００円</w:t>
            </w:r>
          </w:p>
        </w:tc>
      </w:tr>
      <w:tr>
        <w:trPr/>
        <w:tc>
          <w:tcPr>
            <w:tcW w:w="2410"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c>
          <w:tcPr>
            <w:tcW w:w="2266"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市民税非課税世帯</w:t>
            </w:r>
          </w:p>
        </w:tc>
        <w:tc>
          <w:tcPr>
            <w:tcW w:w="4361"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r>
      <w:tr>
        <w:trPr/>
        <w:tc>
          <w:tcPr>
            <w:tcW w:w="2410"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c>
          <w:tcPr>
            <w:tcW w:w="2266"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多子世帯</w:t>
            </w:r>
          </w:p>
        </w:tc>
        <w:tc>
          <w:tcPr>
            <w:tcW w:w="4361"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r>
      <w:tr>
        <w:trPr/>
        <w:tc>
          <w:tcPr>
            <w:tcW w:w="2410"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c>
          <w:tcPr>
            <w:tcW w:w="2266"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多胎児世帯</w:t>
            </w:r>
          </w:p>
        </w:tc>
        <w:tc>
          <w:tcPr>
            <w:tcW w:w="4361"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p>
        </w:tc>
      </w:tr>
      <w:tr>
        <w:trPr/>
        <w:tc>
          <w:tcPr>
            <w:tcW w:w="2410" w:type="dxa"/>
            <w:vMerge w:val="continue"/>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eastAsia="ＭＳ 明朝" w:cs=""/>
                <w:kern w:val="2"/>
                <w:sz w:val="21"/>
                <w:szCs w:val="22"/>
                <w:lang w:val="en-US" w:eastAsia="ja-JP" w:bidi="ar-SA"/>
              </w:rPr>
            </w:r>
            <w:bookmarkStart w:id="0" w:name="_Hlk206086489"/>
            <w:bookmarkStart w:id="1" w:name="_Hlk206086489"/>
            <w:bookmarkEnd w:id="1"/>
          </w:p>
        </w:tc>
        <w:tc>
          <w:tcPr>
            <w:tcW w:w="2266"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上記以外の世帯</w:t>
            </w:r>
          </w:p>
        </w:tc>
        <w:tc>
          <w:tcPr>
            <w:tcW w:w="4361"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１時間当たり ２，４００円</w:t>
            </w:r>
          </w:p>
        </w:tc>
      </w:tr>
      <w:tr>
        <w:trPr/>
        <w:tc>
          <w:tcPr>
            <w:tcW w:w="4676" w:type="dxa"/>
            <w:gridSpan w:val="2"/>
            <w:tcBorders/>
          </w:tcPr>
          <w:p>
            <w:pPr>
              <w:pStyle w:val="Normal"/>
              <w:suppressAutoHyphens w:val="true"/>
              <w:spacing w:before="0" w:after="0"/>
              <w:ind w:firstLine="230"/>
              <w:rPr>
                <w:rFonts w:ascii="ＭＳ 明朝" w:hAnsi="ＭＳ 明朝" w:eastAsia="ＭＳ 明朝" w:cs=""/>
                <w:kern w:val="2"/>
                <w:sz w:val="21"/>
                <w:szCs w:val="22"/>
                <w:lang w:val="en-US" w:eastAsia="ja-JP" w:bidi="ar-SA"/>
              </w:rPr>
            </w:pPr>
            <w:bookmarkStart w:id="2" w:name="_Hlk206419811"/>
            <w:bookmarkStart w:id="3" w:name="_Hlk206086489_Copy_1"/>
            <w:bookmarkEnd w:id="2"/>
            <w:bookmarkEnd w:id="3"/>
            <w:r>
              <w:rPr>
                <w:rFonts w:ascii="ＭＳ 明朝" w:hAnsi="ＭＳ 明朝" w:cs=""/>
                <w:kern w:val="2"/>
                <w:sz w:val="21"/>
                <w:szCs w:val="22"/>
                <w:lang w:val="en-US" w:eastAsia="ja-JP" w:bidi="ar-SA"/>
              </w:rPr>
              <w:t>イ　交通費</w:t>
            </w:r>
          </w:p>
        </w:tc>
        <w:tc>
          <w:tcPr>
            <w:tcW w:w="4361"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１件当たり　９３０円</w:t>
            </w:r>
          </w:p>
        </w:tc>
      </w:tr>
      <w:tr>
        <w:trPr/>
        <w:tc>
          <w:tcPr>
            <w:tcW w:w="4676" w:type="dxa"/>
            <w:gridSpan w:val="2"/>
            <w:tcBorders/>
          </w:tcPr>
          <w:p>
            <w:pPr>
              <w:pStyle w:val="Normal"/>
              <w:suppressAutoHyphens w:val="true"/>
              <w:spacing w:before="0" w:after="0"/>
              <w:rPr>
                <w:rFonts w:ascii="ＭＳ 明朝" w:hAnsi="ＭＳ 明朝" w:eastAsia="ＭＳ 明朝" w:cs=""/>
                <w:kern w:val="2"/>
                <w:sz w:val="21"/>
                <w:szCs w:val="22"/>
                <w:lang w:val="en-US" w:eastAsia="ja-JP" w:bidi="ar-SA"/>
              </w:rPr>
            </w:pPr>
            <w:bookmarkStart w:id="4" w:name="_Hlk206419811_Copy_1"/>
            <w:bookmarkEnd w:id="4"/>
            <w:r>
              <w:rPr>
                <w:rFonts w:ascii="ＭＳ 明朝" w:hAnsi="ＭＳ 明朝" w:cs=""/>
                <w:kern w:val="2"/>
                <w:sz w:val="21"/>
                <w:szCs w:val="22"/>
                <w:lang w:val="en-US" w:eastAsia="ja-JP" w:bidi="ar-SA"/>
              </w:rPr>
              <w:t>②</w:t>
            </w:r>
            <w:r>
              <w:rPr>
                <w:rFonts w:ascii="ＭＳ 明朝" w:hAnsi="ＭＳ 明朝" w:cs=""/>
                <w:kern w:val="2"/>
                <w:sz w:val="21"/>
                <w:szCs w:val="22"/>
                <w:lang w:val="en-US" w:eastAsia="ja-JP" w:bidi="ar-SA"/>
              </w:rPr>
              <w:t>連絡なくキャンセル又は当日キャンセル</w:t>
            </w:r>
          </w:p>
        </w:tc>
        <w:tc>
          <w:tcPr>
            <w:tcW w:w="4361" w:type="dxa"/>
            <w:tcBorders/>
          </w:tcPr>
          <w:p>
            <w:pPr>
              <w:pStyle w:val="Normal"/>
              <w:suppressAutoHyphens w:val="true"/>
              <w:spacing w:before="0" w:after="0"/>
              <w:rPr>
                <w:rFonts w:ascii="ＭＳ 明朝" w:hAnsi="ＭＳ 明朝" w:eastAsia="ＭＳ 明朝" w:cs=""/>
                <w:kern w:val="2"/>
                <w:sz w:val="21"/>
                <w:szCs w:val="22"/>
                <w:lang w:val="en-US" w:eastAsia="ja-JP" w:bidi="ar-SA"/>
              </w:rPr>
            </w:pPr>
            <w:r>
              <w:rPr>
                <w:rFonts w:ascii="ＭＳ 明朝" w:hAnsi="ＭＳ 明朝" w:cs=""/>
                <w:kern w:val="2"/>
                <w:sz w:val="21"/>
                <w:szCs w:val="22"/>
                <w:lang w:val="en-US" w:eastAsia="ja-JP" w:bidi="ar-SA"/>
              </w:rPr>
              <w:t>１件当たり　１，５００円</w:t>
            </w:r>
            <w:bookmarkStart w:id="5" w:name="_Hlk206419987"/>
            <w:bookmarkEnd w:id="5"/>
          </w:p>
        </w:tc>
      </w:tr>
    </w:tbl>
    <w:p>
      <w:pPr>
        <w:pStyle w:val="Normal"/>
        <w:rPr/>
      </w:pPr>
      <w:r>
        <w:rPr/>
      </w:r>
    </w:p>
    <w:p>
      <w:pPr>
        <w:pStyle w:val="Normal"/>
        <w:rPr/>
      </w:pPr>
      <w:r>
        <w:rPr/>
        <w:t xml:space="preserve">１１　事故発生への対応 </w:t>
      </w:r>
    </w:p>
    <w:p>
      <w:pPr>
        <w:pStyle w:val="Normal"/>
        <w:ind w:firstLine="230" w:left="230"/>
        <w:rPr/>
      </w:pPr>
      <w:r>
        <w:rPr/>
        <w:t xml:space="preserve">業務により生じた事故及び損害については、本市に故意又は重過失のない限り、受託事業者がその負担と責任において処理にあたるものとする。 </w:t>
      </w:r>
    </w:p>
    <w:p>
      <w:pPr>
        <w:pStyle w:val="Normal"/>
        <w:ind w:firstLine="230" w:left="230"/>
        <w:rPr/>
      </w:pPr>
      <w:r>
        <w:rPr/>
        <w:t xml:space="preserve">業務により生じた事故等について、「８ 支援状況の報告」に従い必要な報告を行うとともに、遅滞なく本市に報告をしなければならない。 </w:t>
      </w:r>
    </w:p>
    <w:p>
      <w:pPr>
        <w:pStyle w:val="Normal"/>
        <w:rPr/>
      </w:pPr>
      <w:r>
        <w:rPr/>
        <w:t xml:space="preserve"> </w:t>
      </w:r>
    </w:p>
    <w:p>
      <w:pPr>
        <w:pStyle w:val="Normal"/>
        <w:rPr/>
      </w:pPr>
      <w:r>
        <w:rPr/>
        <w:t xml:space="preserve">１２　書類の保存 </w:t>
      </w:r>
    </w:p>
    <w:p>
      <w:pPr>
        <w:pStyle w:val="Normal"/>
        <w:ind w:hanging="230" w:left="460"/>
        <w:rPr/>
      </w:pPr>
      <w:r>
        <w:rPr/>
        <w:t>(1</w:t>
      </w:r>
      <w:r>
        <w:rPr/>
        <w:t>）委託事業者は、事業の適正な実施を確保するため、支援に関する記録及びその他必要と認める帳票類を整備し、実施年度の翌年度から起算して５年間保存しなければならない。</w:t>
      </w:r>
    </w:p>
    <w:p>
      <w:pPr>
        <w:pStyle w:val="Normal"/>
        <w:ind w:hanging="230" w:left="460"/>
        <w:rPr/>
      </w:pPr>
      <w:r>
        <w:rPr/>
        <w:t>(2</w:t>
      </w:r>
      <w:r>
        <w:rPr/>
        <w:t>）事業者は、生駒市からの委託業務についての調査や求められた事項の報告に応じなければならない。</w:t>
      </w:r>
    </w:p>
    <w:p>
      <w:pPr>
        <w:pStyle w:val="Normal"/>
        <w:rPr/>
      </w:pPr>
      <w:r>
        <w:rPr/>
      </w:r>
    </w:p>
    <w:p>
      <w:pPr>
        <w:pStyle w:val="Normal"/>
        <w:rPr/>
      </w:pPr>
      <w:r>
        <w:rPr/>
        <w:t xml:space="preserve">１３　その他 </w:t>
      </w:r>
    </w:p>
    <w:p>
      <w:pPr>
        <w:pStyle w:val="Normal"/>
        <w:ind w:firstLine="230" w:left="230"/>
        <w:rPr/>
      </w:pPr>
      <w:r>
        <w:rPr/>
        <w:t xml:space="preserve">この仕様書に定めるもののほか、本事業の実施に必要な事項は、市と受託事業者が協議の上、決定することとする。 </w:t>
      </w:r>
    </w:p>
    <w:p>
      <w:pPr>
        <w:pStyle w:val="Normal"/>
        <w:rPr/>
      </w:pPr>
      <w:r>
        <w:rPr/>
      </w:r>
    </w:p>
    <w:sectPr>
      <w:type w:val="nextPage"/>
      <w:pgSz w:w="11906" w:h="16838"/>
      <w:pgMar w:left="1361" w:right="1361" w:gutter="0" w:header="0" w:top="1361" w:footer="0" w:bottom="1361"/>
      <w:pgNumType w:fmt="decimal"/>
      <w:formProt w:val="false"/>
      <w:textDirection w:val="lrTb"/>
      <w:docGrid w:type="linesAndChars" w:linePitch="360" w:charSpace="368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a9d"/>
    <w:pPr>
      <w:widowControl w:val="false"/>
      <w:suppressAutoHyphens w:val="true"/>
      <w:bidi w:val="0"/>
      <w:spacing w:before="0" w:after="0"/>
      <w:jc w:val="both"/>
    </w:pPr>
    <w:rPr>
      <w:rFonts w:ascii="ＭＳ 明朝" w:hAnsi="ＭＳ 明朝" w:eastAsia="ＭＳ 明朝" w:cs="" w:cstheme="minorBidi"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numbering" w:styleId="user2"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ff6e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240</TotalTime>
  <Application>LibreOffice/25.2.4.3$Windows_X86_64 LibreOffice_project/33e196637044ead23f5c3226cde09b47731f7e27</Application>
  <AppVersion>15.0000</AppVersion>
  <Pages>6</Pages>
  <Words>3975</Words>
  <Characters>3996</Characters>
  <CharactersWithSpaces>4146</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2025-08-28T07:15:00Z</dcterms:created>
  <dc:creator>生駒市</dc:creator>
  <dc:description/>
  <dc:language>ja-JP</dc:language>
  <cp:lastModifiedBy/>
  <cp:lastPrinted>2025-08-29T01:18:00Z</cp:lastPrinted>
  <dcterms:modified xsi:type="dcterms:W3CDTF">2026-03-27T16:59:34Z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